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ff0000"/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SPERIMENTAZIONE DI ATTIVITÀ INCLUSIVE NELLE SCUOLE DI 1° GRADO</w:t>
      </w:r>
    </w:p>
    <w:p w:rsidR="00000000" w:rsidDel="00000000" w:rsidP="00000000" w:rsidRDefault="00000000" w:rsidRPr="00000000" w14:paraId="00000002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OGGETTO DEL TIROCINIO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  <w:t xml:space="preserve">Sperimentazione di attività inclusive nelle scuole secondarie I grado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OBIETTIVI FORMATIVI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  <w:t xml:space="preserve">Future Education Modena (FEM) è un centro di ricerca applicata sui temi dell’EdTech, volto a studiare e disegnare esperienze educative innovative e aumentate attraverso l’uso equilibrato ed efficace della tecnologia. Obiettivo del tirocinio sarà l’acquisizione di competenze nei processi di progettazione, erogazione e documentazione di esperienze formative su ambienti tecnologici  (LSM o piattaforme online) destinate ad un target di docenti di ogni ordine e grado.</w:t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b w:val="1"/>
          <w:color w:val="ff0000"/>
        </w:rPr>
      </w:pPr>
      <w:r w:rsidDel="00000000" w:rsidR="00000000" w:rsidRPr="00000000">
        <w:rPr>
          <w:b w:val="1"/>
          <w:rtl w:val="0"/>
        </w:rPr>
        <w:t xml:space="preserve">ATTIVITÀ’ DA SVOLGERE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  <w:t xml:space="preserve">Il/la tirocinante potrà partecipare alla selezione di materiale didattico da caricare sulle piattaforme e  all’ideazione  di attività da proporre ai docenti impegnati nei percorsi formativi. Una cura particolare verrà dedicata all’utilizzo strategico e funzionale dei criteri di progettazione che includano le esigenze degli studenti con Bisogni Educativi speciali e/o diverse abilità. Attraverso lo svolgimento delle attività il/la tirocinante acquisirà competenze di progettazione e valutazione di esperienze didattiche</w:t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color w:val="ff0000"/>
        </w:rPr>
      </w:pPr>
      <w:r w:rsidDel="00000000" w:rsidR="00000000" w:rsidRPr="00000000">
        <w:rPr>
          <w:b w:val="1"/>
          <w:rtl w:val="0"/>
        </w:rPr>
        <w:t xml:space="preserve">REQUISITI TECNICI E CONOSCENZE INFORMATICHE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  <w:t xml:space="preserve">conoscenza di base degli ambienti tecnologici per le formazioni online (ad es. LMS)</w:t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134" w:top="1417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